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62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="0062231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Ц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62231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</w:t>
      </w:r>
      <w:r w:rsidR="00622314">
        <w:rPr>
          <w:rFonts w:ascii="Times New Roman" w:eastAsia="Times New Roman" w:hAnsi="Times New Roman" w:cs="Times New Roman"/>
        </w:rPr>
        <w:t>Ц</w:t>
      </w:r>
      <w:r w:rsidRPr="00893845">
        <w:rPr>
          <w:rFonts w:ascii="Times New Roman" w:eastAsia="Times New Roman" w:hAnsi="Times New Roman" w:cs="Times New Roman"/>
        </w:rPr>
        <w:t>-</w:t>
      </w:r>
      <w:bookmarkEnd w:id="2"/>
      <w:r w:rsidR="00622314">
        <w:rPr>
          <w:rFonts w:ascii="Times New Roman" w:eastAsia="Times New Roman" w:hAnsi="Times New Roman" w:cs="Times New Roman"/>
        </w:rPr>
        <w:t>2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22212E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22212E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212E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22212E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212E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22212E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22212E" w:rsidRDefault="00622314" w:rsidP="00632FF6">
            <w:pPr>
              <w:pStyle w:val="TableParagraph"/>
            </w:pPr>
            <w:r w:rsidRPr="0022212E">
              <w:t>УКЦ-2</w:t>
            </w:r>
            <w:r w:rsidRPr="0022212E">
              <w:rPr>
                <w:spacing w:val="-15"/>
              </w:rPr>
              <w:t xml:space="preserve"> </w:t>
            </w:r>
            <w:proofErr w:type="gramStart"/>
            <w:r w:rsidRPr="0022212E">
              <w:t>Способен</w:t>
            </w:r>
            <w:proofErr w:type="gramEnd"/>
            <w:r w:rsidRPr="0022212E">
              <w:t xml:space="preserve"> искать нужные </w:t>
            </w:r>
            <w:r w:rsidRPr="0022212E">
              <w:rPr>
                <w:spacing w:val="-2"/>
              </w:rPr>
              <w:t xml:space="preserve">источники </w:t>
            </w:r>
            <w:r w:rsidRPr="0022212E">
              <w:t xml:space="preserve">информации и </w:t>
            </w:r>
            <w:r w:rsidRPr="0022212E">
              <w:rPr>
                <w:spacing w:val="-2"/>
              </w:rPr>
              <w:t xml:space="preserve">данные, воспринимать, анализировать, </w:t>
            </w:r>
            <w:r w:rsidRPr="0022212E">
              <w:t xml:space="preserve">запоминать и </w:t>
            </w:r>
            <w:r w:rsidRPr="0022212E">
              <w:rPr>
                <w:spacing w:val="-2"/>
              </w:rPr>
              <w:t xml:space="preserve">передавать </w:t>
            </w:r>
            <w:r w:rsidRPr="0022212E">
              <w:t xml:space="preserve">информацию с </w:t>
            </w:r>
            <w:r w:rsidRPr="0022212E">
              <w:rPr>
                <w:spacing w:val="-2"/>
              </w:rPr>
              <w:t xml:space="preserve">использованием цифровых </w:t>
            </w:r>
            <w:r w:rsidRPr="0022212E">
              <w:t>средств,</w:t>
            </w:r>
            <w:r w:rsidRPr="0022212E">
              <w:rPr>
                <w:spacing w:val="-1"/>
              </w:rPr>
              <w:t xml:space="preserve"> </w:t>
            </w:r>
            <w:r w:rsidRPr="0022212E">
              <w:t>а</w:t>
            </w:r>
            <w:r w:rsidRPr="0022212E">
              <w:rPr>
                <w:spacing w:val="-2"/>
              </w:rPr>
              <w:t xml:space="preserve"> </w:t>
            </w:r>
            <w:r w:rsidRPr="0022212E">
              <w:t>также</w:t>
            </w:r>
            <w:r w:rsidRPr="0022212E">
              <w:rPr>
                <w:spacing w:val="-1"/>
              </w:rPr>
              <w:t xml:space="preserve"> </w:t>
            </w:r>
            <w:r w:rsidRPr="0022212E">
              <w:rPr>
                <w:spacing w:val="-10"/>
              </w:rPr>
              <w:t xml:space="preserve">с </w:t>
            </w:r>
            <w:r w:rsidRPr="0022212E">
              <w:t>помощью</w:t>
            </w:r>
            <w:r w:rsidRPr="0022212E">
              <w:rPr>
                <w:spacing w:val="-15"/>
              </w:rPr>
              <w:t xml:space="preserve"> </w:t>
            </w:r>
            <w:r w:rsidRPr="0022212E">
              <w:t xml:space="preserve">алгоритмов </w:t>
            </w:r>
            <w:r w:rsidRPr="0022212E">
              <w:rPr>
                <w:spacing w:val="-4"/>
              </w:rPr>
              <w:t xml:space="preserve">при </w:t>
            </w:r>
            <w:r w:rsidRPr="0022212E">
              <w:t xml:space="preserve">работе с полученными из </w:t>
            </w:r>
            <w:r w:rsidRPr="0022212E">
              <w:rPr>
                <w:spacing w:val="-2"/>
              </w:rPr>
              <w:t xml:space="preserve">различных </w:t>
            </w:r>
            <w:r w:rsidRPr="0022212E">
              <w:t>источников</w:t>
            </w:r>
            <w:r w:rsidRPr="0022212E">
              <w:rPr>
                <w:spacing w:val="-15"/>
              </w:rPr>
              <w:t xml:space="preserve"> </w:t>
            </w:r>
            <w:r w:rsidRPr="0022212E">
              <w:t xml:space="preserve">данными с целью </w:t>
            </w:r>
            <w:r w:rsidRPr="0022212E">
              <w:rPr>
                <w:spacing w:val="-2"/>
              </w:rPr>
              <w:t xml:space="preserve">эффективного использования полученной </w:t>
            </w:r>
            <w:r w:rsidRPr="0022212E">
              <w:t>информации для решения задач</w:t>
            </w:r>
          </w:p>
        </w:tc>
        <w:tc>
          <w:tcPr>
            <w:tcW w:w="2938" w:type="pct"/>
            <w:shd w:val="clear" w:color="auto" w:fill="auto"/>
          </w:tcPr>
          <w:p w:rsidR="00632FF6" w:rsidRPr="0022212E" w:rsidRDefault="00622314" w:rsidP="00622314">
            <w:pPr>
              <w:pStyle w:val="TableParagraph"/>
              <w:jc w:val="both"/>
            </w:pPr>
            <w:r w:rsidRPr="0022212E">
              <w:t>З-УКЦ-2</w:t>
            </w:r>
            <w:proofErr w:type="gramStart"/>
            <w:r w:rsidRPr="0022212E">
              <w:t xml:space="preserve"> З</w:t>
            </w:r>
            <w:proofErr w:type="gramEnd"/>
            <w:r w:rsidRPr="0022212E">
              <w:t>нать: методики сбора и обработки информации с использованием</w:t>
            </w:r>
            <w:r w:rsidRPr="0022212E">
              <w:rPr>
                <w:spacing w:val="-6"/>
              </w:rPr>
              <w:t xml:space="preserve"> </w:t>
            </w:r>
            <w:r w:rsidRPr="0022212E">
              <w:t>цифровых</w:t>
            </w:r>
            <w:r w:rsidRPr="0022212E">
              <w:rPr>
                <w:spacing w:val="-3"/>
              </w:rPr>
              <w:t xml:space="preserve"> </w:t>
            </w:r>
            <w:r w:rsidRPr="0022212E">
              <w:t>средств,</w:t>
            </w:r>
            <w:r w:rsidRPr="0022212E">
              <w:rPr>
                <w:spacing w:val="-5"/>
              </w:rPr>
              <w:t xml:space="preserve"> </w:t>
            </w:r>
            <w:r w:rsidRPr="0022212E">
              <w:t>а</w:t>
            </w:r>
            <w:r w:rsidRPr="0022212E">
              <w:rPr>
                <w:spacing w:val="-7"/>
              </w:rPr>
              <w:t xml:space="preserve"> </w:t>
            </w:r>
            <w:r w:rsidRPr="0022212E">
              <w:t>также</w:t>
            </w:r>
            <w:r w:rsidRPr="0022212E">
              <w:rPr>
                <w:spacing w:val="-4"/>
              </w:rPr>
              <w:t xml:space="preserve"> </w:t>
            </w:r>
            <w:r w:rsidRPr="0022212E">
              <w:t>актуальные</w:t>
            </w:r>
            <w:r w:rsidRPr="0022212E">
              <w:rPr>
                <w:spacing w:val="-7"/>
              </w:rPr>
              <w:t xml:space="preserve"> </w:t>
            </w:r>
            <w:r w:rsidRPr="0022212E">
              <w:t>российские</w:t>
            </w:r>
            <w:r w:rsidRPr="0022212E">
              <w:rPr>
                <w:spacing w:val="-6"/>
              </w:rPr>
              <w:t xml:space="preserve"> </w:t>
            </w:r>
            <w:r w:rsidRPr="0022212E">
              <w:t xml:space="preserve">и зарубежные источники информации в сфере профессиональной деятельности, принципы, методы и средства решения стандартных задач профессиональной деятельности с использованием цифровых средств и с учетом основных требований информационной </w:t>
            </w:r>
            <w:r w:rsidRPr="0022212E">
              <w:rPr>
                <w:spacing w:val="-2"/>
              </w:rPr>
              <w:t>безопасности</w:t>
            </w:r>
          </w:p>
        </w:tc>
      </w:tr>
      <w:tr w:rsidR="00632FF6" w:rsidRPr="0022212E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22212E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22212E" w:rsidRDefault="00622314" w:rsidP="00622314">
            <w:pPr>
              <w:pStyle w:val="TableParagraph"/>
              <w:jc w:val="both"/>
              <w:rPr>
                <w:rFonts w:eastAsia="Calibri"/>
              </w:rPr>
            </w:pPr>
            <w:r w:rsidRPr="0022212E">
              <w:t>У-УКЦ-2</w:t>
            </w:r>
            <w:proofErr w:type="gramStart"/>
            <w:r w:rsidRPr="0022212E">
              <w:t xml:space="preserve"> У</w:t>
            </w:r>
            <w:proofErr w:type="gramEnd"/>
            <w:r w:rsidRPr="0022212E">
              <w:t>меть: применять методики поиска, сбора и обработки информации; с</w:t>
            </w:r>
            <w:r w:rsidRPr="0022212E">
              <w:rPr>
                <w:spacing w:val="40"/>
              </w:rPr>
              <w:t xml:space="preserve"> </w:t>
            </w:r>
            <w:r w:rsidRPr="0022212E">
              <w:t>использованием цифровых средств, осуществлять критический анализ и синтез информации, полученной из разных источников, и решать стандартные задачи профессиональной деятельности с использованием цифровых средств и с учетом основных требований информационной безопасности</w:t>
            </w:r>
          </w:p>
        </w:tc>
      </w:tr>
      <w:tr w:rsidR="00632FF6" w:rsidRPr="0022212E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22212E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22212E" w:rsidRDefault="00622314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212E">
              <w:rPr>
                <w:rFonts w:ascii="Times New Roman" w:eastAsia="Times New Roman" w:hAnsi="Times New Roman" w:cs="Times New Roman"/>
              </w:rPr>
              <w:t>В-УКЦ-2</w:t>
            </w:r>
            <w:proofErr w:type="gramStart"/>
            <w:r w:rsidRPr="0022212E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22212E">
              <w:rPr>
                <w:rFonts w:ascii="Times New Roman" w:eastAsia="Times New Roman" w:hAnsi="Times New Roman" w:cs="Times New Roman"/>
              </w:rPr>
              <w:t>ладеть: методами поиска, сбора и обработки, критического анализа и синтеза информации с использованием цифровых средств для решения поставленных задач, навыками подготовки обзоров, аннотаций, составления рефератов, научных докладов, публикаций и библиографии по научно-исследовательской работе с использованием цифровых средств и с учетом требований информационной безопасности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  <w:t>Дисциплины. Обязательная часть</w:t>
            </w:r>
          </w:p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  <w:t>Дисциплины. Часть, формируемая участниками образовательных отношений</w:t>
            </w:r>
          </w:p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Б1.В.01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Профессиональный модуль</w:t>
            </w:r>
          </w:p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Б1.В.01.ДВ.02.02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Автоматизация системы управления персоналом</w:t>
            </w:r>
            <w:r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– 5 семестр</w:t>
            </w:r>
          </w:p>
          <w:p w:rsidR="00622314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Б1.В.01.ДВ.03.01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Автоматизация финансового учета</w:t>
            </w:r>
            <w:r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 xml:space="preserve"> – 5 семестр</w:t>
            </w:r>
          </w:p>
          <w:p w:rsidR="00622314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Б2.В.01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Профессиональный модуль</w:t>
            </w:r>
          </w:p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Б2.В.01.02(У)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Б2.В.01.03(П)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 – 6 семестр</w:t>
            </w:r>
          </w:p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Б2.В.01.04(Пд)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Производственная практика (преддипломная практика) – 8 семестр</w:t>
            </w:r>
            <w:r w:rsidRPr="00485EF8"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  <w:t xml:space="preserve"> </w:t>
            </w:r>
          </w:p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u w:val="single"/>
                <w:lang w:val="uz-Cyrl-UZ" w:eastAsia="ru-RU"/>
              </w:rPr>
              <w:t>Итоговая аттестация</w:t>
            </w:r>
          </w:p>
          <w:p w:rsidR="00622314" w:rsidRPr="00485EF8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Б3.01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Профессиональный модуль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</w:r>
          </w:p>
          <w:p w:rsidR="0024744A" w:rsidRPr="00893845" w:rsidRDefault="00622314" w:rsidP="006223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>Б3.01.01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Итоговая аттестация</w:t>
            </w:r>
            <w:r w:rsidRPr="00485EF8"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  <w:tab/>
              <w:t>– 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532"/>
        <w:gridCol w:w="2479"/>
      </w:tblGrid>
      <w:tr w:rsidR="00622314" w:rsidRPr="00204FE8" w:rsidTr="000B3A1B">
        <w:trPr>
          <w:trHeight w:val="300"/>
        </w:trPr>
        <w:tc>
          <w:tcPr>
            <w:tcW w:w="277" w:type="pct"/>
            <w:vMerge w:val="restart"/>
          </w:tcPr>
          <w:p w:rsidR="00622314" w:rsidRPr="00204FE8" w:rsidRDefault="00622314" w:rsidP="00BA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20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22314" w:rsidRPr="00204FE8" w:rsidRDefault="00622314" w:rsidP="00BA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0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0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0" w:type="pct"/>
            <w:shd w:val="clear" w:color="auto" w:fill="auto"/>
            <w:noWrap/>
            <w:vAlign w:val="bottom"/>
            <w:hideMark/>
          </w:tcPr>
          <w:p w:rsidR="00622314" w:rsidRPr="00204FE8" w:rsidRDefault="00622314" w:rsidP="00BA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303" w:type="pct"/>
          </w:tcPr>
          <w:p w:rsidR="00622314" w:rsidRPr="00204FE8" w:rsidRDefault="00622314" w:rsidP="00BA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622314" w:rsidRPr="00204FE8" w:rsidTr="000B3A1B">
        <w:trPr>
          <w:trHeight w:val="300"/>
        </w:trPr>
        <w:tc>
          <w:tcPr>
            <w:tcW w:w="277" w:type="pct"/>
            <w:vMerge/>
          </w:tcPr>
          <w:p w:rsidR="00622314" w:rsidRPr="00204FE8" w:rsidRDefault="00622314" w:rsidP="00BA213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23" w:type="pct"/>
            <w:gridSpan w:val="2"/>
            <w:shd w:val="clear" w:color="auto" w:fill="auto"/>
            <w:noWrap/>
            <w:vAlign w:val="bottom"/>
            <w:hideMark/>
          </w:tcPr>
          <w:p w:rsidR="00622314" w:rsidRPr="00204FE8" w:rsidRDefault="0022212E" w:rsidP="00BA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Б1.В.01.ДВ.02.02</w:t>
            </w:r>
            <w:r w:rsidRPr="0020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Автоматизация системы управления персоналом– 5 семестр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модуль 1С используется для ведения кадрового учёта?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а) «1С</w:t>
            </w:r>
            <w:proofErr w:type="gram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ухгалтерия»;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б) «1С</w:t>
            </w:r>
            <w:proofErr w:type="gram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арплата и управление персоналом» (1С:ЗУП);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в) «1С:ERP»;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г) «1С</w:t>
            </w:r>
            <w:proofErr w:type="gram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окументооборот».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Где в 1С</w:t>
            </w:r>
            <w:proofErr w:type="gram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УП настраивают графики работы сотрудников?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а) в справочнике «Графики работы»;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б) в документе «Табель учёта рабочего времени»;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в отчёте «Анализ зарплаты»;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г) в разделе «Начисления».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Для чего нужен отчёт «Штатная расстановка» в 1С</w:t>
            </w:r>
            <w:proofErr w:type="gram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УП?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а) для анализа текучести кадров;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б) для просмотра занятых и свободных позиций по штатному расписанию;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в) для расчёта премий;</w:t>
            </w:r>
          </w:p>
          <w:p w:rsidR="00A1110B" w:rsidRPr="00204FE8" w:rsidRDefault="00A1110B" w:rsidP="0068670B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 xml:space="preserve">г) для учёта </w:t>
            </w:r>
            <w:proofErr w:type="gram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больничных</w:t>
            </w:r>
            <w:proofErr w:type="gram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Где в 1С</w:t>
            </w:r>
            <w:proofErr w:type="gram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УП хранят персональные данные сотрудника (паспорт, ИНН и т. д.)?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а) в справочнике «Физические лица»;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б) в документе «Табель»;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в) в отчёте «Личные данные»;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г) в разделе «Налоги».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Где настраивают ставки НДФЛ и страховых взносов?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а) в справочнике «Налоги»;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б) в настройках учёта зарплаты;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в) в документе «Начисление»;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г) в отчёте «Налоги и взносы».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Где в 1С</w:t>
            </w:r>
            <w:proofErr w:type="gram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УП ведут учёт трудовых книжек?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а) в карточке сотрудника (раздел «Трудовая деятельность»);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б) в документе «Трудовая книжка»;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в) в справочнике «Документы»;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г) в отчёте «Книжка».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документ в 1С</w:t>
            </w:r>
            <w:proofErr w:type="gram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УП используют для изменения оклада сотрудника?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а) «Изменение оплаты труда»;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б) «Корректировка оклада»;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в) «Кадровый перевод»;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г) «Дополнительное соглашение».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документ отражает фактически отработанное время?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а) «Табель учёта рабочего времени»;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б) «Журнал рабочего времени»;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в) «Хронометраж»;</w:t>
            </w:r>
          </w:p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г) «Учёт рабочего дня».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Удалить ненужный документ или элемент справочника можно:</w:t>
            </w:r>
          </w:p>
          <w:p w:rsidR="00A1110B" w:rsidRPr="00204FE8" w:rsidRDefault="00A1110B" w:rsidP="00A1110B">
            <w:pPr>
              <w:pStyle w:val="a7"/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  <w:tab w:val="left" w:pos="440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204FE8">
              <w:rPr>
                <w:sz w:val="24"/>
                <w:szCs w:val="24"/>
              </w:rPr>
              <w:t xml:space="preserve">С помощью кнопки </w:t>
            </w:r>
            <w:proofErr w:type="spellStart"/>
            <w:r w:rsidRPr="00204FE8">
              <w:rPr>
                <w:sz w:val="24"/>
                <w:szCs w:val="24"/>
              </w:rPr>
              <w:t>Delete</w:t>
            </w:r>
            <w:proofErr w:type="spellEnd"/>
            <w:r w:rsidRPr="00204FE8">
              <w:rPr>
                <w:sz w:val="24"/>
                <w:szCs w:val="24"/>
              </w:rPr>
              <w:t xml:space="preserve"> на клавиатуре.</w:t>
            </w:r>
          </w:p>
          <w:p w:rsidR="00A1110B" w:rsidRPr="00204FE8" w:rsidRDefault="00A1110B" w:rsidP="00A1110B">
            <w:pPr>
              <w:pStyle w:val="a7"/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  <w:tab w:val="left" w:pos="440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204FE8">
              <w:rPr>
                <w:sz w:val="24"/>
                <w:szCs w:val="24"/>
              </w:rPr>
              <w:t>С помощью правой кнопки мыши и команды</w:t>
            </w:r>
            <w:proofErr w:type="gramStart"/>
            <w:r w:rsidRPr="00204FE8">
              <w:rPr>
                <w:sz w:val="24"/>
                <w:szCs w:val="24"/>
              </w:rPr>
              <w:t xml:space="preserve"> У</w:t>
            </w:r>
            <w:proofErr w:type="gramEnd"/>
            <w:r w:rsidRPr="00204FE8">
              <w:rPr>
                <w:sz w:val="24"/>
                <w:szCs w:val="24"/>
              </w:rPr>
              <w:t>далить.</w:t>
            </w:r>
          </w:p>
          <w:p w:rsidR="00A1110B" w:rsidRPr="00204FE8" w:rsidRDefault="00A1110B" w:rsidP="00A1110B">
            <w:pPr>
              <w:pStyle w:val="a7"/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  <w:tab w:val="left" w:pos="440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204FE8">
              <w:rPr>
                <w:sz w:val="24"/>
                <w:szCs w:val="24"/>
              </w:rPr>
              <w:t>С помощью специальной обработки "Удаление помеченных объектов"</w:t>
            </w:r>
          </w:p>
          <w:p w:rsidR="00A1110B" w:rsidRPr="00204FE8" w:rsidRDefault="00A1110B" w:rsidP="00A1110B">
            <w:pPr>
              <w:pStyle w:val="a7"/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  <w:tab w:val="left" w:pos="440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204FE8">
              <w:rPr>
                <w:sz w:val="24"/>
                <w:szCs w:val="24"/>
              </w:rPr>
              <w:t>Нет верного ответа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284"/>
                <w:tab w:val="left" w:pos="567"/>
                <w:tab w:val="left" w:pos="993"/>
                <w:tab w:val="left" w:pos="1276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Сведения о трудовом договоре заполняются:</w:t>
            </w:r>
          </w:p>
          <w:p w:rsidR="00A1110B" w:rsidRPr="00204FE8" w:rsidRDefault="00A1110B" w:rsidP="00A1110B">
            <w:pPr>
              <w:pStyle w:val="a7"/>
              <w:widowControl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  <w:tab w:val="left" w:pos="567"/>
                <w:tab w:val="left" w:pos="440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204FE8">
              <w:rPr>
                <w:sz w:val="24"/>
                <w:szCs w:val="24"/>
              </w:rPr>
              <w:t>В справочнике «Физические лица»</w:t>
            </w:r>
          </w:p>
          <w:p w:rsidR="00A1110B" w:rsidRPr="00204FE8" w:rsidRDefault="00A1110B" w:rsidP="00A1110B">
            <w:pPr>
              <w:pStyle w:val="a7"/>
              <w:widowControl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  <w:tab w:val="left" w:pos="567"/>
                <w:tab w:val="left" w:pos="440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204FE8">
              <w:rPr>
                <w:sz w:val="24"/>
                <w:szCs w:val="24"/>
              </w:rPr>
              <w:t>В справочнике «Сотрудники»</w:t>
            </w:r>
          </w:p>
          <w:p w:rsidR="00A1110B" w:rsidRPr="00204FE8" w:rsidRDefault="00A1110B" w:rsidP="00A1110B">
            <w:pPr>
              <w:pStyle w:val="a7"/>
              <w:widowControl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  <w:tab w:val="left" w:pos="567"/>
                <w:tab w:val="left" w:pos="440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204FE8">
              <w:rPr>
                <w:sz w:val="24"/>
                <w:szCs w:val="24"/>
              </w:rPr>
              <w:t>В документе «Прием на работу»</w:t>
            </w:r>
          </w:p>
          <w:p w:rsidR="00A1110B" w:rsidRPr="00204FE8" w:rsidRDefault="00A1110B" w:rsidP="00A1110B">
            <w:pPr>
              <w:pStyle w:val="a7"/>
              <w:widowControl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  <w:tab w:val="left" w:pos="567"/>
                <w:tab w:val="left" w:pos="440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204FE8">
              <w:rPr>
                <w:sz w:val="24"/>
                <w:szCs w:val="24"/>
              </w:rPr>
              <w:t>В документе «Трудовой договор»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документ отражает фактически отработанное время сотрудника?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Табель учёта рабочего времени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Какова основная цель системы управления персоналом?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использование кадрового </w:t>
            </w:r>
            <w:r w:rsidRPr="0020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потенциала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документ фиксирует условия трудовых отношений между работником и работодателем?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определяющий структуру, численность и оклады должностей в организации?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приказ оформляют при переводе сотрудника на другую должность?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приказ о кадровом перемещении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документ издаётся при прекращении трудового договора?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приказ об увольнении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документ запускает расчёт зарплаты за период?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начисление зарплаты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содержащий детализацию начислений и удержаний для каждого сотрудника?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расчётный листок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документ оформляют для выдачи зарплаты через кассу?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расходный кассовый ордер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документ используют для выплаты зарплаты через ведомость?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платёжная ведомость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Что означает термин «депонирование» в учёте зарплаты?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невыданная</w:t>
            </w:r>
            <w:proofErr w:type="spellEnd"/>
            <w:r w:rsidRPr="00204FE8">
              <w:rPr>
                <w:rFonts w:ascii="Times New Roman" w:hAnsi="Times New Roman" w:cs="Times New Roman"/>
                <w:sz w:val="24"/>
                <w:szCs w:val="24"/>
              </w:rPr>
              <w:t xml:space="preserve"> зарплата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Какой отчёт показывает занятость позиций по штатному расписанию?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штатная расстановка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A1110B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hd w:val="clear" w:color="auto" w:fill="FFFFFF"/>
              <w:tabs>
                <w:tab w:val="left" w:pos="1134"/>
                <w:tab w:val="left" w:pos="440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Какой документ регистрирует отсутствие сотрудника (не по болезни)?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неявка</w:t>
            </w:r>
          </w:p>
        </w:tc>
      </w:tr>
      <w:tr w:rsidR="00A1110B" w:rsidRPr="00204FE8" w:rsidTr="000B3A1B">
        <w:trPr>
          <w:trHeight w:val="317"/>
        </w:trPr>
        <w:tc>
          <w:tcPr>
            <w:tcW w:w="277" w:type="pct"/>
          </w:tcPr>
          <w:p w:rsidR="00A1110B" w:rsidRPr="00204FE8" w:rsidRDefault="00A1110B" w:rsidP="00BA2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0B" w:rsidRPr="00204FE8" w:rsidRDefault="00A1110B" w:rsidP="00BA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20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Б1.В.01.ДВ.03.01</w:t>
            </w:r>
            <w:r w:rsidRPr="0020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Автоматизация финансового учета – 5 семестр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помощи объекта конфигурации «Константа» обеспечивается хранение: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единичной величины или набора значений, показывающего изменение этой величины во времени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чисел и строк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набора однотипных величин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единичной величины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 конфигурации «Перечисление» представляет собой: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список значений, создаваемый на этапе конфигурирования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список значений, создаваемый либо на этапе конфигурирования, либо на этапе использования конфигурации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список однородных элементов данных, создаваемый на этапе конфигурирования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 список однородных элементов данных, создаваемый как на этапе конфигурирования, так и на этапе использования конфигурации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набор текстовых строк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 конфигурации «Справочник» предназначен 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формирования выходной информации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хранения информации о совершенных хозяйственных операциях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хранения списков однородных элементов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 выполнения различных действий над информационной базой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для накопления информации о наличии и движении средств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Объекту конфигурации «План видов характеристик» соответствует учётное понятие: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а) множество счетов бухгалтерского учёта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множество типов счетов бухгалтерского учёта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множество объектов аналитического учёта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 множество типов объектов аналитического учёта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множество планов счетов бухгалтерского учёта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Какой режим позволяет настраивать компоненты системы автоматизации и запоминать их в специальной базе данных: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 Пользователь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Конфигуратор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Совет дня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Монопольный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регистраторов могут выступать следующие объекты системы «1С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редприятие»: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Документы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Документы и справочники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Регистры бухгалтерии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Регистры бухгалтерии и регистры накопления д) Документы, справочники, регистры бухгалтерии и регистры накопления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активных пользователей содержит: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список пользователей, которым разрешён вход в систему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список пользователей, которые работали с системой в заданный период времени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список пользователей, которые работали с системой в заданный период времени не менее установленного количества сеансов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 список пользователей, подключённых в настоящий момент к информационной базе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список пользователей, ожидающих в настоящий момент ответ на запрос к информационной базе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активных пользователей включает: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пользователей, работающих только в режиме конфигурирования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пользователей, работающих только в режиме использования конфигурации (1C: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Предприятие) </w:t>
            </w:r>
            <w:proofErr w:type="gramEnd"/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пользователей, работающих как в режиме конфигурирования, так и в режиме использования конфигурации (1С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редприятие)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пользователей, работающих только в режиме отладки конфигурации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для конкретного пользователя назначается: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в списке активных пользователей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в списке пользователей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 в справочнике «Сотрудники организации»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 в ветви «Роли» дерева конфигурации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в списке пользователей или справочнике «Сотрудники организации»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для конкретного пользователя назначается: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только в режиме конфигурирования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только в режиме использования конфигурации (1С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редприятие)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только в режиме отладки конфигурации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г) как в режиме конфигурирования, так и в режиме использования конфигурации (1С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редприятие)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Справочник, построенный как иерархический список, в котором записи объединяются в группы, называется: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одноуровневый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группа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контрагенты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многоуровневый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Справочник, предназначенный для учёта кадров предприятия: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номенклатура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сотрудники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подразделения организации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ответственные лица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Справочник, хранящий сведения о физических и юридических лицах (поставщиках, покупателях и т. д.), с которыми имеет дело организация: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номенклатура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б) резервы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контрагенты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физические лица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Предназначены для хранения сведений о множестве однотипных объектов, которые используются при ведении аналитического учёта и для заполнения документов: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справочники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константы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регистры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 отчёты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Справочник, построенный как простой список элементов, называется: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 одноуровневый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многоуровневый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простой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сложный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Какие закладки не предусмотрены в справочнике «Организации»? а) основные б) адреса и телефоны в) коды г) сотрудники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справочникам, созданным пользователем, относятся: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справочник «Валюты»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справочник «Классификатор единиц измерения»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справочник «Организации»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 справочник «Статьи движения денежных средств»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К справочнику «Корреспонденция счетов» можно обратиться следующим образом: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 по кнопке «Ввести хозяйственную операцию» с командной панели главного меню программы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по закладке «Операции» на панели функций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по закладке «Общие сведения» в учётной политике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по кнопке «Настройки параметров учёта» на закладке «Начало работы» на панели функций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интерфейс назначается конкретному пользователю: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 только в режиме конфигурирования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б) только в режиме использования конфигурации («1С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редприятие»)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только в режиме отладки конфигурации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как в режиме конфигурирования, так и в режиме использования конфигурации («1С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редприятие»)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интерфейс для конкретного пользователя назначается: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 в списке активных пользователей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 в списке пользователей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в справочнике «Сотрудники организации» или в справочнике «Физические лица»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 в ветви «Интерфейсы» дерева конфигурации 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в Плане видов обмена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Промежуточное звено между аналитическими и синтетическими счетами: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Субконто;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Счёт;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Субсчета;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Нет правильного ответа.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проводок, предназначенный для автоматического контроля вводимых операций: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Корректные проводки;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Монитор пользователя;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Администрирование;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Нет верного ответа.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нескольких планов счетов обеспечивает: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а) Ведение учёта для группы предприятий с формированием консолидированной отчётности;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Ведение учёта в нескольких стандартах;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Ведение параллельного учёта в дополнительной валюте;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Для первого и второго;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Для первого, второго и третьего.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счетов первого уровня в плане счетов: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Не ограничено;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б) Не может превышать 99;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в) Не может превышать 255;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Не может превышать 999.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Для ввода или просмотра предопределённых счетов необходимо: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а) Обратиться к списку предопределённых счетов на закладке «Данные»;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б) Обратиться к списку предопределённых счетов на закладке «Прочие»;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Обратиться к списку предопределённых счетов через меню, вызываемое нажатием кнопки «Действия»;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г) Сделать либо первое, либо второе;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Сделать либо второе, либо третье.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уровней субсчетов в плане счетов: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Ничем не ограничено;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Не может превышать 99;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Не может превышать 255;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г) Ограничено общей длиной кода счёта.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 режиме «1С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редприятие» допускается добавлять к счетам дополнительные аналитические разрезы (субконто):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Только для предопределённых счетов;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Только для счетов, не являющихся предопределёнными;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 Как для предопределённых, так и для </w:t>
            </w:r>
            <w:proofErr w:type="spell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непредопределённых</w:t>
            </w:r>
            <w:proofErr w:type="spell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счетов;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Только для балансовых счетов;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 Только для </w:t>
            </w:r>
            <w:proofErr w:type="spell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забалансовых</w:t>
            </w:r>
            <w:proofErr w:type="spell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счетов.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Новый счёт может быть введён в план счетов: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а) Только в режиме «1С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редприятие»;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Только в режиме «Конфигуратор»;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Как в режиме «1С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редприятие», так и в режиме «Конфигуратор»;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г) Только в том режиме, в котором был введён план счетов.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Необходимым условием для добавления нового аналитического разреза к счёту является: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Наличие объекта типа «Справочник», используемого в качестве аналитического разреза;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Наличие объекта типа «Справочник», «Перечисление» или «Документ», используемого в качестве аналитического разреза;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Наличие в плане видов характеристик характеристики, используемой в качестве аналитического разреза;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Наличие измерения в регистре бухгалтерии, используемого в качестве аналитического разреза;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 Одно из условий, указанных в ответах 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Если организация начинает работу с 1 января 2024 года, то остатки по счетам вводятся: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а) на 1.01.2024;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31.12.2023;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на 1.12.2023;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1.01.2023.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 типовой конфигурации для целей бухгалтерского учёта способ оценки МПЗ: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Реализован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только по средней стоимости;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Устанавливается пользователем в параметрах учётной политики, путём выбора одного из вариантов: ФИФО, по средней стоимости;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Устанавливается пользователем в параметрах учётной политики, путём выбора одного из вариантов: по средней стоимости;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Устанавливается пользователем в параметрах учётной политики, путём выбора одного из вариантов: по средней стоимости или ФИФО.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счетах учёта номенклатуры организаций хранится: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В справочнике «Номенклатура»;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В справочнике «Номенклатурные группы»;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В регистре сведений «Основные спецификации номенклатуры»;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В регистре сведений «Счета учёта номенклатуры»;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д) Внутри программы и 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недоступна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корректировки пользователем.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 записях регистра сведений «Счета учёта номенклатуры» счета учёта номенклатуры задаются: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По видам номенклатуры для всего предприятия в целом;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б) По видам номенклатуры и организациям предприятия;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По видам номенклатуры, организациям предприятия и местам хранения;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По видам номенклатуры, организациям предприятия и назначению использования;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По видам номенклатуры, организациям предприятия, местам хранения и назначению использования.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 записях регистра сведений «Счета учёта номенклатуры» счета учёта номенклатуры задаются: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Только для каждой номенклатурной позиции;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Только для групп номенклатуры;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Как для каждой номенклатурной позиции, так и для групп номенклатуры;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Для каждой номенклатурной позиции, для групп номенклатуры и для всей номенклатуры в целом.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 записях регистра сведений «Счета учёта номенклатуры» определяются правила: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а) Бухгалтерского учёта и налогового учёта по налогу на прибыль;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Бухгалтерского учёта, налогового учёта по налогу на прибыль и НДС;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Бухгалтерского учёта, налогового учёта по налогу на прибыль, НДС и УСН;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 Бухгалтерского учёта, налогового учёта по налогу на прибыль, НДС, УСН и </w:t>
            </w:r>
            <w:proofErr w:type="spell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забалансового</w:t>
            </w:r>
            <w:proofErr w:type="spell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учёта;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 Бухгалтерского учёта, налогового учёта по налогу на прибыль, НДС и </w:t>
            </w:r>
            <w:proofErr w:type="spell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забалансового</w:t>
            </w:r>
            <w:proofErr w:type="spell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учёта.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Если в план счетов пользователем введены собственные субсчета учёта номенклатуры, то: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Их нельзя добавить в регистр сведений «Счета учёта номенклатуры»;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б) В регистр сведений «Счета учёта номенклатуры» они могут быть добавлены, но они не будут автоматически подставляться в документы типовой конфигурации;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Их можно добавить в регистр сведений «Счета учёта номенклатуры» и они будут автоматически подставляться в документы типовой конфигурации.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Список складов (мест хранения) представлен в типовой конфигурации при помощи объекта: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а) Справочник;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Перечисление;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Регистр сведений;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План видов характеристик;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План видов обмена.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Список «Счета учёта номенклатуры» представлен в типовой конфигурации объектом: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Справочник;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б) Регистр бухгалтерии;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в) Регистр сведений;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Документ;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Журнал.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Метод списания запасов (ФИФО, по средней стоимости) устанавливается: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а) Для каждой номенклатурной позиции;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б) Для групп номенклатуры;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в) </w:t>
            </w:r>
            <w:proofErr w:type="gramStart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Единым</w:t>
            </w:r>
            <w:proofErr w:type="gramEnd"/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всей номенклатуры;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г) Первым и вторым способами;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Всеми способами.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216707" w:rsidRPr="00204FE8" w:rsidTr="00A35A60">
        <w:trPr>
          <w:trHeight w:val="317"/>
        </w:trPr>
        <w:tc>
          <w:tcPr>
            <w:tcW w:w="277" w:type="pct"/>
          </w:tcPr>
          <w:p w:rsidR="00216707" w:rsidRPr="00204FE8" w:rsidRDefault="00216707" w:rsidP="00216707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объекта основных средств, не требующих монтажа, за плату отражается в бухгалтерском и налоговом учёте документом типовой конфигурации: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а) «Поступление товаров и услуг» с видом операции «Оборудование»;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б) «Поступление товаров и услуг» с видом операции «Объекты строительства»;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 в) «Поступление товаров и услуг» с видом операции «Покупка, комиссия»;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г) «Поступление товаров и услуг» с видом операции «Оборудование» или с видом операции «Объекты строительства»; </w:t>
            </w:r>
          </w:p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д) «Поступление товаров и услуг» с видом операции «Оборудование» или с видом операции «Покупка, комиссия».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707" w:rsidRPr="00204FE8" w:rsidRDefault="00216707" w:rsidP="00216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16707" w:rsidRPr="00204FE8" w:rsidTr="000B3A1B">
        <w:trPr>
          <w:trHeight w:val="317"/>
        </w:trPr>
        <w:tc>
          <w:tcPr>
            <w:tcW w:w="277" w:type="pct"/>
          </w:tcPr>
          <w:p w:rsidR="00216707" w:rsidRPr="00204FE8" w:rsidRDefault="00216707" w:rsidP="00BA2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216707" w:rsidRPr="00204FE8" w:rsidTr="000B3A1B">
        <w:trPr>
          <w:trHeight w:val="317"/>
        </w:trPr>
        <w:tc>
          <w:tcPr>
            <w:tcW w:w="277" w:type="pct"/>
          </w:tcPr>
          <w:p w:rsidR="00216707" w:rsidRPr="00204FE8" w:rsidRDefault="00216707" w:rsidP="00A1110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16707" w:rsidRPr="00204FE8" w:rsidTr="000B3A1B">
        <w:trPr>
          <w:trHeight w:val="317"/>
        </w:trPr>
        <w:tc>
          <w:tcPr>
            <w:tcW w:w="277" w:type="pct"/>
          </w:tcPr>
          <w:p w:rsidR="00216707" w:rsidRPr="00204FE8" w:rsidRDefault="00216707" w:rsidP="00BA2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Б2.В.01.03(П)</w:t>
            </w:r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 – 6 семестр</w:t>
            </w:r>
          </w:p>
        </w:tc>
      </w:tr>
      <w:tr w:rsidR="00216707" w:rsidRPr="00204FE8" w:rsidTr="000B3A1B">
        <w:trPr>
          <w:trHeight w:val="317"/>
        </w:trPr>
        <w:tc>
          <w:tcPr>
            <w:tcW w:w="277" w:type="pct"/>
          </w:tcPr>
          <w:p w:rsidR="00216707" w:rsidRPr="00204FE8" w:rsidRDefault="00216707" w:rsidP="00A1110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16707" w:rsidRPr="00204FE8" w:rsidTr="000B3A1B">
        <w:trPr>
          <w:trHeight w:val="317"/>
        </w:trPr>
        <w:tc>
          <w:tcPr>
            <w:tcW w:w="277" w:type="pct"/>
          </w:tcPr>
          <w:p w:rsidR="00216707" w:rsidRPr="00204FE8" w:rsidRDefault="00216707" w:rsidP="00BA2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216707" w:rsidRPr="00204FE8" w:rsidTr="000B3A1B">
        <w:trPr>
          <w:trHeight w:val="317"/>
        </w:trPr>
        <w:tc>
          <w:tcPr>
            <w:tcW w:w="277" w:type="pct"/>
          </w:tcPr>
          <w:p w:rsidR="00216707" w:rsidRPr="00204FE8" w:rsidRDefault="00216707" w:rsidP="00A1110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16707" w:rsidRPr="00204FE8" w:rsidTr="000B3A1B">
        <w:trPr>
          <w:trHeight w:val="317"/>
        </w:trPr>
        <w:tc>
          <w:tcPr>
            <w:tcW w:w="277" w:type="pct"/>
          </w:tcPr>
          <w:p w:rsidR="00216707" w:rsidRPr="00204FE8" w:rsidRDefault="00216707" w:rsidP="00BA2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204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216707" w:rsidRPr="00204FE8" w:rsidTr="000B3A1B">
        <w:trPr>
          <w:trHeight w:val="317"/>
        </w:trPr>
        <w:tc>
          <w:tcPr>
            <w:tcW w:w="277" w:type="pct"/>
          </w:tcPr>
          <w:p w:rsidR="00216707" w:rsidRPr="00204FE8" w:rsidRDefault="00216707" w:rsidP="00A1110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7" w:rsidRPr="00204FE8" w:rsidRDefault="00216707" w:rsidP="00BA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3B91273"/>
    <w:multiLevelType w:val="hybridMultilevel"/>
    <w:tmpl w:val="F296156C"/>
    <w:lvl w:ilvl="0" w:tplc="D400B24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1369B"/>
    <w:multiLevelType w:val="hybridMultilevel"/>
    <w:tmpl w:val="2B2C9DDC"/>
    <w:lvl w:ilvl="0" w:tplc="18C0C1B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81E"/>
    <w:multiLevelType w:val="hybridMultilevel"/>
    <w:tmpl w:val="B6EACEE2"/>
    <w:lvl w:ilvl="0" w:tplc="C8642F8A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67D8A"/>
    <w:multiLevelType w:val="hybridMultilevel"/>
    <w:tmpl w:val="BCD82130"/>
    <w:lvl w:ilvl="0" w:tplc="3362C404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30ABB"/>
    <w:multiLevelType w:val="hybridMultilevel"/>
    <w:tmpl w:val="8F100622"/>
    <w:lvl w:ilvl="0" w:tplc="C1427C2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674C4"/>
    <w:multiLevelType w:val="hybridMultilevel"/>
    <w:tmpl w:val="9940AF80"/>
    <w:lvl w:ilvl="0" w:tplc="A594B3FE">
      <w:start w:val="1"/>
      <w:numFmt w:val="russianLower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44F7A"/>
    <w:multiLevelType w:val="hybridMultilevel"/>
    <w:tmpl w:val="6374E946"/>
    <w:lvl w:ilvl="0" w:tplc="28D6FF3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0723B"/>
    <w:multiLevelType w:val="hybridMultilevel"/>
    <w:tmpl w:val="0DBC40CE"/>
    <w:lvl w:ilvl="0" w:tplc="69A40E78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D0E37"/>
    <w:multiLevelType w:val="hybridMultilevel"/>
    <w:tmpl w:val="07CECD06"/>
    <w:lvl w:ilvl="0" w:tplc="1B7A56D4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92F08"/>
    <w:multiLevelType w:val="hybridMultilevel"/>
    <w:tmpl w:val="E3F49FCE"/>
    <w:lvl w:ilvl="0" w:tplc="D3F605A4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B16AF"/>
    <w:multiLevelType w:val="hybridMultilevel"/>
    <w:tmpl w:val="FA2E7388"/>
    <w:lvl w:ilvl="0" w:tplc="24BEE93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A75C0"/>
    <w:multiLevelType w:val="hybridMultilevel"/>
    <w:tmpl w:val="4528A50C"/>
    <w:lvl w:ilvl="0" w:tplc="DA6019BC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95988"/>
    <w:multiLevelType w:val="hybridMultilevel"/>
    <w:tmpl w:val="062C429A"/>
    <w:lvl w:ilvl="0" w:tplc="492EC7F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D28B0"/>
    <w:multiLevelType w:val="hybridMultilevel"/>
    <w:tmpl w:val="37485416"/>
    <w:lvl w:ilvl="0" w:tplc="E2EE63D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702A4"/>
    <w:multiLevelType w:val="hybridMultilevel"/>
    <w:tmpl w:val="E2206416"/>
    <w:lvl w:ilvl="0" w:tplc="C62E7DF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A5185"/>
    <w:multiLevelType w:val="hybridMultilevel"/>
    <w:tmpl w:val="871EE936"/>
    <w:lvl w:ilvl="0" w:tplc="31B0B1F0">
      <w:start w:val="1"/>
      <w:numFmt w:val="russianLower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A0499"/>
    <w:multiLevelType w:val="hybridMultilevel"/>
    <w:tmpl w:val="0AB4D596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5"/>
  </w:num>
  <w:num w:numId="5">
    <w:abstractNumId w:val="13"/>
  </w:num>
  <w:num w:numId="6">
    <w:abstractNumId w:val="3"/>
  </w:num>
  <w:num w:numId="7">
    <w:abstractNumId w:val="4"/>
  </w:num>
  <w:num w:numId="8">
    <w:abstractNumId w:val="14"/>
  </w:num>
  <w:num w:numId="9">
    <w:abstractNumId w:val="11"/>
  </w:num>
  <w:num w:numId="10">
    <w:abstractNumId w:val="8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9"/>
  </w:num>
  <w:num w:numId="16">
    <w:abstractNumId w:val="10"/>
  </w:num>
  <w:num w:numId="17">
    <w:abstractNumId w:val="16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0B3A1B"/>
    <w:rsid w:val="00112C4F"/>
    <w:rsid w:val="00130FBB"/>
    <w:rsid w:val="001D6EE0"/>
    <w:rsid w:val="00204FE8"/>
    <w:rsid w:val="00216707"/>
    <w:rsid w:val="0022212E"/>
    <w:rsid w:val="0024744A"/>
    <w:rsid w:val="0027504F"/>
    <w:rsid w:val="002D6030"/>
    <w:rsid w:val="004D582B"/>
    <w:rsid w:val="00507B5E"/>
    <w:rsid w:val="00516569"/>
    <w:rsid w:val="005822B2"/>
    <w:rsid w:val="005A4CE6"/>
    <w:rsid w:val="005C162E"/>
    <w:rsid w:val="005D156E"/>
    <w:rsid w:val="00622314"/>
    <w:rsid w:val="00632FF6"/>
    <w:rsid w:val="0068670B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12038"/>
    <w:rsid w:val="0082022E"/>
    <w:rsid w:val="00885017"/>
    <w:rsid w:val="00893845"/>
    <w:rsid w:val="00926469"/>
    <w:rsid w:val="00946F1C"/>
    <w:rsid w:val="00955E17"/>
    <w:rsid w:val="0099350A"/>
    <w:rsid w:val="00A1110B"/>
    <w:rsid w:val="00A21870"/>
    <w:rsid w:val="00A23FE9"/>
    <w:rsid w:val="00A37040"/>
    <w:rsid w:val="00AB0EBF"/>
    <w:rsid w:val="00AE5E3E"/>
    <w:rsid w:val="00B74604"/>
    <w:rsid w:val="00C93797"/>
    <w:rsid w:val="00D175EF"/>
    <w:rsid w:val="00D248E3"/>
    <w:rsid w:val="00D26878"/>
    <w:rsid w:val="00D34F38"/>
    <w:rsid w:val="00D41817"/>
    <w:rsid w:val="00D6721C"/>
    <w:rsid w:val="00DE07DE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946F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4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F1C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34"/>
    <w:locked/>
    <w:rsid w:val="000B3A1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946F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4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F1C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34"/>
    <w:locked/>
    <w:rsid w:val="000B3A1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13</cp:revision>
  <dcterms:created xsi:type="dcterms:W3CDTF">2025-11-28T08:55:00Z</dcterms:created>
  <dcterms:modified xsi:type="dcterms:W3CDTF">2025-12-14T14:52:00Z</dcterms:modified>
</cp:coreProperties>
</file>